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C7070" w:rsidRPr="00775AFE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E792F">
        <w:tc>
          <w:tcPr>
            <w:tcW w:w="1080" w:type="dxa"/>
            <w:vAlign w:val="center"/>
          </w:tcPr>
          <w:p w:rsidR="00AE792F" w:rsidRPr="002811D1" w:rsidRDefault="00AE792F" w:rsidP="00AE792F">
            <w:pPr>
              <w:jc w:val="right"/>
              <w:rPr>
                <w:rFonts w:ascii="Arial" w:hAnsi="Arial" w:cs="Arial"/>
              </w:rPr>
            </w:pPr>
            <w:r w:rsidRPr="002811D1">
              <w:rPr>
                <w:rFonts w:ascii="Arial" w:hAnsi="Arial" w:cs="Arial"/>
              </w:rPr>
              <w:t>Datum:</w:t>
            </w:r>
          </w:p>
        </w:tc>
        <w:tc>
          <w:tcPr>
            <w:tcW w:w="2160" w:type="dxa"/>
            <w:vAlign w:val="center"/>
          </w:tcPr>
          <w:p w:rsidR="00AE792F" w:rsidRPr="002811D1" w:rsidRDefault="00AE792F" w:rsidP="00AE792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080" w:type="dxa"/>
            <w:vAlign w:val="center"/>
          </w:tcPr>
          <w:p w:rsidR="00AE792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E792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AE792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E792F" w:rsidRPr="002811D1" w:rsidTr="007713A9">
        <w:tc>
          <w:tcPr>
            <w:tcW w:w="9288" w:type="dxa"/>
          </w:tcPr>
          <w:p w:rsidR="00AE792F" w:rsidRPr="002811D1" w:rsidRDefault="00AE792F" w:rsidP="007713A9">
            <w:pPr>
              <w:pStyle w:val="Konnaopomba-besedilo"/>
              <w:jc w:val="center"/>
              <w:rPr>
                <w:rFonts w:ascii="Arial" w:hAnsi="Arial" w:cs="Arial"/>
                <w:b/>
                <w:szCs w:val="20"/>
              </w:rPr>
            </w:pPr>
            <w:r w:rsidRPr="002811D1">
              <w:rPr>
                <w:rFonts w:ascii="Arial" w:hAnsi="Arial" w:cs="Arial"/>
                <w:b/>
                <w:szCs w:val="20"/>
              </w:rPr>
              <w:t>»IZDELAVA POROČIL O VPLIVIH NA  OKOLJE ZARADI NADGRADNJE GLAVNE ŽELEZNIŠKE PROGE ŠT. 50 NA 4 MEDPOSTAJNIH ODSEKIH OD LJUBLJANE DO DIVAČE«</w:t>
            </w:r>
          </w:p>
        </w:tc>
      </w:tr>
    </w:tbl>
    <w:p w:rsidR="00AE792F" w:rsidRPr="002811D1" w:rsidRDefault="00AE792F" w:rsidP="00AE792F">
      <w:pPr>
        <w:pStyle w:val="Konnaopomba-besedilo"/>
        <w:jc w:val="both"/>
        <w:rPr>
          <w:rFonts w:ascii="Arial" w:hAnsi="Arial" w:cs="Arial"/>
          <w:szCs w:val="20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>
        <w:trPr>
          <w:trHeight w:val="6080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00623" w:rsidRPr="00200623" w:rsidRDefault="00200623" w:rsidP="00F93277">
            <w:pPr>
              <w:pStyle w:val="Telobesedila2"/>
              <w:keepNext/>
              <w:numPr>
                <w:ilvl w:val="3"/>
                <w:numId w:val="1"/>
              </w:numPr>
              <w:tabs>
                <w:tab w:val="left" w:pos="306"/>
              </w:tabs>
              <w:spacing w:before="60"/>
              <w:ind w:left="306" w:firstLine="0"/>
              <w:rPr>
                <w:b w:val="0"/>
                <w:szCs w:val="22"/>
              </w:rPr>
            </w:pPr>
            <w:r w:rsidRPr="00200623">
              <w:rPr>
                <w:b w:val="0"/>
                <w:szCs w:val="22"/>
              </w:rPr>
              <w:t xml:space="preserve">V </w:t>
            </w:r>
            <w:r w:rsidR="00F93277">
              <w:rPr>
                <w:b w:val="0"/>
                <w:szCs w:val="22"/>
              </w:rPr>
              <w:t>prvem odstavku točke</w:t>
            </w:r>
            <w:r w:rsidRPr="00200623">
              <w:rPr>
                <w:b w:val="0"/>
                <w:szCs w:val="22"/>
              </w:rPr>
              <w:t xml:space="preserve"> 2.6.1. Navodil za pripravo ponudbe se spremeni višina finančnega zavarovanja</w:t>
            </w:r>
            <w:r w:rsidR="00F93277">
              <w:rPr>
                <w:b w:val="0"/>
                <w:szCs w:val="22"/>
              </w:rPr>
              <w:t xml:space="preserve">, tako da </w:t>
            </w:r>
            <w:r w:rsidRPr="00200623">
              <w:rPr>
                <w:b w:val="0"/>
                <w:szCs w:val="22"/>
              </w:rPr>
              <w:t xml:space="preserve">besedilo </w:t>
            </w:r>
            <w:r w:rsidR="00F93277">
              <w:rPr>
                <w:b w:val="0"/>
                <w:szCs w:val="22"/>
              </w:rPr>
              <w:t xml:space="preserve">prvega odstavka </w:t>
            </w:r>
            <w:r w:rsidRPr="00200623">
              <w:rPr>
                <w:b w:val="0"/>
                <w:szCs w:val="22"/>
              </w:rPr>
              <w:t>točke spremenjeno glasi:</w:t>
            </w:r>
          </w:p>
          <w:p w:rsidR="00200623" w:rsidRPr="00200623" w:rsidRDefault="00200623" w:rsidP="00200623">
            <w:pPr>
              <w:pStyle w:val="Telobesedila2"/>
              <w:keepNext/>
              <w:tabs>
                <w:tab w:val="left" w:pos="1260"/>
              </w:tabs>
              <w:spacing w:before="60"/>
              <w:ind w:left="539"/>
              <w:rPr>
                <w:b w:val="0"/>
                <w:szCs w:val="22"/>
              </w:rPr>
            </w:pPr>
            <w:r w:rsidRPr="00200623">
              <w:rPr>
                <w:b w:val="0"/>
                <w:szCs w:val="22"/>
              </w:rPr>
              <w:tab/>
            </w:r>
            <w:r w:rsidR="00F93277">
              <w:rPr>
                <w:b w:val="0"/>
                <w:szCs w:val="22"/>
              </w:rPr>
              <w:t xml:space="preserve"> </w:t>
            </w:r>
          </w:p>
          <w:p w:rsidR="00200623" w:rsidRPr="001E2B33" w:rsidRDefault="00F93277" w:rsidP="00F93277">
            <w:pPr>
              <w:pStyle w:val="Telobesedila2"/>
              <w:spacing w:before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»</w:t>
            </w:r>
            <w:r w:rsidR="00200623" w:rsidRPr="00200623">
              <w:rPr>
                <w:b w:val="0"/>
                <w:szCs w:val="22"/>
              </w:rPr>
              <w:t>Kot zavarovanje za resnost ponudbe mora</w:t>
            </w:r>
            <w:r w:rsidR="00200623" w:rsidRPr="001E2B33">
              <w:rPr>
                <w:b w:val="0"/>
                <w:szCs w:val="22"/>
              </w:rPr>
              <w:t xml:space="preserve"> ponudnik (pri skupni ponudbi katerikoli partner) predložiti finančno </w:t>
            </w:r>
            <w:r w:rsidR="00200623" w:rsidRPr="003E665E">
              <w:rPr>
                <w:b w:val="0"/>
                <w:szCs w:val="22"/>
              </w:rPr>
              <w:t>zavarovanje skladno z vzorcem iz razpisne dokumentacije, v višini 5.800,00 EUR in z veljavnostjo do dne 30. 10. 2020.</w:t>
            </w:r>
            <w:r w:rsidRPr="003E665E">
              <w:rPr>
                <w:b w:val="0"/>
                <w:szCs w:val="22"/>
              </w:rPr>
              <w:t>«</w:t>
            </w:r>
          </w:p>
          <w:p w:rsidR="00200623" w:rsidRPr="00200623" w:rsidRDefault="00200623" w:rsidP="00200623">
            <w:pPr>
              <w:pStyle w:val="Telobesedila2"/>
              <w:spacing w:before="60"/>
              <w:ind w:left="1996"/>
              <w:rPr>
                <w:rFonts w:cs="Arial"/>
                <w:b w:val="0"/>
                <w:szCs w:val="22"/>
              </w:rPr>
            </w:pPr>
          </w:p>
          <w:p w:rsidR="00200623" w:rsidRPr="00F93277" w:rsidRDefault="00200623" w:rsidP="00F93277">
            <w:pPr>
              <w:pStyle w:val="Telobesedila2"/>
              <w:keepNext/>
              <w:numPr>
                <w:ilvl w:val="0"/>
                <w:numId w:val="1"/>
              </w:numPr>
              <w:tabs>
                <w:tab w:val="left" w:pos="1260"/>
              </w:tabs>
              <w:spacing w:before="60"/>
              <w:rPr>
                <w:rFonts w:cs="Arial"/>
                <w:b w:val="0"/>
                <w:szCs w:val="22"/>
              </w:rPr>
            </w:pPr>
            <w:r w:rsidRPr="00F93277">
              <w:rPr>
                <w:rFonts w:cs="Arial"/>
                <w:b w:val="0"/>
                <w:szCs w:val="22"/>
              </w:rPr>
              <w:t>Točki 4.5 Navodil za pripravo ponudbe se doda besedilo »ali garancijo zavarovalnice« in se spremeni višina finančnega zavarovanja</w:t>
            </w:r>
            <w:r w:rsidR="00F93277">
              <w:rPr>
                <w:rFonts w:cs="Arial"/>
                <w:b w:val="0"/>
                <w:szCs w:val="22"/>
              </w:rPr>
              <w:t xml:space="preserve">, tako da </w:t>
            </w:r>
            <w:r w:rsidRPr="00F93277">
              <w:rPr>
                <w:rFonts w:cs="Arial"/>
                <w:b w:val="0"/>
                <w:szCs w:val="22"/>
              </w:rPr>
              <w:t>besedilo točke spremenjeno glasi:</w:t>
            </w:r>
          </w:p>
          <w:p w:rsidR="00200623" w:rsidRPr="001E2B33" w:rsidRDefault="00200623" w:rsidP="00F93277">
            <w:pPr>
              <w:pStyle w:val="Telobesedila2"/>
              <w:keepNext/>
              <w:tabs>
                <w:tab w:val="left" w:pos="993"/>
              </w:tabs>
              <w:spacing w:before="60"/>
              <w:ind w:left="539"/>
              <w:rPr>
                <w:rFonts w:cs="Arial"/>
                <w:szCs w:val="22"/>
              </w:rPr>
            </w:pPr>
            <w:r w:rsidRPr="00F93277">
              <w:rPr>
                <w:rFonts w:cs="Arial"/>
                <w:b w:val="0"/>
                <w:szCs w:val="22"/>
              </w:rPr>
              <w:tab/>
            </w:r>
            <w:r w:rsidR="00F93277">
              <w:rPr>
                <w:rFonts w:cs="Arial"/>
                <w:b w:val="0"/>
                <w:szCs w:val="22"/>
              </w:rPr>
              <w:t xml:space="preserve"> </w:t>
            </w:r>
          </w:p>
          <w:p w:rsidR="00200623" w:rsidRPr="00F93277" w:rsidRDefault="00F93277" w:rsidP="00F93277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200623" w:rsidRPr="00F93277">
              <w:rPr>
                <w:rFonts w:ascii="Arial" w:hAnsi="Arial" w:cs="Arial"/>
                <w:sz w:val="22"/>
                <w:szCs w:val="22"/>
              </w:rPr>
              <w:t>Kot zavarovanje za resnost ponudbe mora ponudnik (</w:t>
            </w:r>
            <w:r w:rsidR="00200623" w:rsidRPr="00F93277">
              <w:rPr>
                <w:rFonts w:ascii="Arial" w:hAnsi="Arial" w:cs="Arial"/>
                <w:i/>
                <w:sz w:val="22"/>
                <w:szCs w:val="22"/>
              </w:rPr>
              <w:t>pri skupni ponudbi katerikoli partner</w:t>
            </w:r>
            <w:r w:rsidR="00200623" w:rsidRPr="00F93277">
              <w:rPr>
                <w:rFonts w:ascii="Arial" w:hAnsi="Arial" w:cs="Arial"/>
                <w:sz w:val="22"/>
                <w:szCs w:val="22"/>
              </w:rPr>
              <w:t xml:space="preserve">) predložiti bančno garancijo ali garancijo zavarovalnice v višini </w:t>
            </w:r>
            <w:r>
              <w:rPr>
                <w:rFonts w:ascii="Arial" w:hAnsi="Arial" w:cs="Arial"/>
                <w:sz w:val="22"/>
                <w:szCs w:val="22"/>
              </w:rPr>
              <w:t>5.8</w:t>
            </w:r>
            <w:r w:rsidR="00200623" w:rsidRPr="00F93277">
              <w:rPr>
                <w:rFonts w:ascii="Arial" w:hAnsi="Arial" w:cs="Arial"/>
                <w:sz w:val="22"/>
                <w:szCs w:val="22"/>
              </w:rPr>
              <w:t>00,00 EUR za katero veljajo »Enotna pravila za garancije na poziv (EPGP), revizija iz leta 2010, izdana pri MTZ pod št. 758«. Skeniran original zavarovanja se predloži kot »</w:t>
            </w:r>
            <w:proofErr w:type="spellStart"/>
            <w:r w:rsidR="00200623" w:rsidRPr="00F93277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  <w:r w:rsidR="00200623" w:rsidRPr="00F93277">
              <w:rPr>
                <w:rFonts w:ascii="Arial" w:hAnsi="Arial" w:cs="Arial"/>
                <w:sz w:val="22"/>
                <w:szCs w:val="22"/>
              </w:rPr>
              <w:t>« dokument v razdelek »druge priloge«.</w:t>
            </w:r>
          </w:p>
          <w:p w:rsidR="00200623" w:rsidRPr="00F93277" w:rsidRDefault="00200623" w:rsidP="00200623">
            <w:pPr>
              <w:spacing w:before="60"/>
              <w:ind w:left="99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3277" w:rsidRPr="00F93277" w:rsidRDefault="00200623" w:rsidP="00F93277">
            <w:pPr>
              <w:pStyle w:val="Telobesedila2"/>
              <w:numPr>
                <w:ilvl w:val="0"/>
                <w:numId w:val="1"/>
              </w:numPr>
              <w:tabs>
                <w:tab w:val="left" w:pos="1276"/>
              </w:tabs>
              <w:spacing w:before="60"/>
              <w:rPr>
                <w:rFonts w:cs="Arial"/>
                <w:b w:val="0"/>
                <w:szCs w:val="22"/>
              </w:rPr>
            </w:pPr>
            <w:r w:rsidRPr="00F93277">
              <w:rPr>
                <w:rFonts w:cs="Arial"/>
                <w:b w:val="0"/>
                <w:szCs w:val="22"/>
              </w:rPr>
              <w:t xml:space="preserve">V </w:t>
            </w:r>
            <w:r w:rsidR="00F93277">
              <w:rPr>
                <w:rFonts w:cs="Arial"/>
                <w:b w:val="0"/>
                <w:szCs w:val="22"/>
              </w:rPr>
              <w:t>prvem odstavku točke</w:t>
            </w:r>
            <w:r w:rsidRPr="00F93277">
              <w:rPr>
                <w:rFonts w:cs="Arial"/>
                <w:b w:val="0"/>
                <w:szCs w:val="22"/>
              </w:rPr>
              <w:t xml:space="preserve"> 3.2.2.1 Navodil za pripravo ponudbe se spremeni višina povprečnega čistega letnega prihodka</w:t>
            </w:r>
            <w:r w:rsidR="00F93277">
              <w:rPr>
                <w:rFonts w:cs="Arial"/>
                <w:b w:val="0"/>
                <w:szCs w:val="22"/>
              </w:rPr>
              <w:t>, tako da</w:t>
            </w:r>
            <w:r w:rsidRPr="00F93277">
              <w:rPr>
                <w:rFonts w:cs="Arial"/>
                <w:b w:val="0"/>
                <w:szCs w:val="22"/>
              </w:rPr>
              <w:t xml:space="preserve"> besedilo </w:t>
            </w:r>
            <w:r w:rsidR="00F93277">
              <w:rPr>
                <w:rFonts w:cs="Arial"/>
                <w:b w:val="0"/>
                <w:szCs w:val="22"/>
              </w:rPr>
              <w:t xml:space="preserve">prvega odstavka </w:t>
            </w:r>
            <w:r w:rsidRPr="00F93277">
              <w:rPr>
                <w:rFonts w:cs="Arial"/>
                <w:b w:val="0"/>
                <w:szCs w:val="22"/>
              </w:rPr>
              <w:t>točke spremenjeno glasi:</w:t>
            </w:r>
          </w:p>
          <w:p w:rsidR="00F93277" w:rsidRPr="00F93277" w:rsidRDefault="00F93277" w:rsidP="00200623">
            <w:pPr>
              <w:pStyle w:val="Telobesedila2"/>
              <w:tabs>
                <w:tab w:val="left" w:pos="1276"/>
              </w:tabs>
              <w:spacing w:before="60"/>
              <w:ind w:left="1276" w:hanging="709"/>
              <w:rPr>
                <w:rFonts w:cs="Arial"/>
                <w:b w:val="0"/>
                <w:szCs w:val="22"/>
              </w:rPr>
            </w:pPr>
          </w:p>
          <w:p w:rsidR="00200623" w:rsidRDefault="00F93277" w:rsidP="00E42A6E">
            <w:pPr>
              <w:pStyle w:val="Telobesedila2"/>
              <w:tabs>
                <w:tab w:val="left" w:pos="1276"/>
              </w:tabs>
              <w:spacing w:before="6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»</w:t>
            </w:r>
            <w:r w:rsidR="00200623" w:rsidRPr="00F93277">
              <w:rPr>
                <w:rFonts w:cs="Arial"/>
                <w:b w:val="0"/>
                <w:szCs w:val="22"/>
              </w:rPr>
              <w:t>Ponudnik (</w:t>
            </w:r>
            <w:r w:rsidR="00200623" w:rsidRPr="00F93277">
              <w:rPr>
                <w:rFonts w:cs="Arial"/>
                <w:b w:val="0"/>
                <w:i/>
                <w:szCs w:val="22"/>
              </w:rPr>
              <w:t>v skupni ponudbi en ali več partnerjev skupaj</w:t>
            </w:r>
            <w:r w:rsidR="00200623" w:rsidRPr="00F93277">
              <w:rPr>
                <w:rFonts w:cs="Arial"/>
                <w:b w:val="0"/>
                <w:szCs w:val="22"/>
              </w:rPr>
              <w:t xml:space="preserve">) je imel v zadnjih treh poslovnih letih (če </w:t>
            </w:r>
            <w:r w:rsidR="00200623" w:rsidRPr="00F93277">
              <w:rPr>
                <w:rFonts w:cs="Arial"/>
                <w:b w:val="0"/>
                <w:i/>
                <w:szCs w:val="22"/>
              </w:rPr>
              <w:t>posluje manj kot 3 leta, v obdobju, odkar posluje)</w:t>
            </w:r>
            <w:r w:rsidR="00200623" w:rsidRPr="00F93277">
              <w:rPr>
                <w:rFonts w:cs="Arial"/>
                <w:b w:val="0"/>
                <w:szCs w:val="22"/>
              </w:rPr>
              <w:t xml:space="preserve"> povprečni č</w:t>
            </w:r>
            <w:bookmarkStart w:id="0" w:name="_GoBack"/>
            <w:bookmarkEnd w:id="0"/>
            <w:r w:rsidR="00200623" w:rsidRPr="00F93277">
              <w:rPr>
                <w:rFonts w:cs="Arial"/>
                <w:b w:val="0"/>
                <w:szCs w:val="22"/>
              </w:rPr>
              <w:t xml:space="preserve">isti letni prihodek vsaj v višini </w:t>
            </w:r>
            <w:r w:rsidRPr="00F93277">
              <w:rPr>
                <w:rFonts w:cs="Arial"/>
                <w:b w:val="0"/>
                <w:szCs w:val="22"/>
              </w:rPr>
              <w:t>2</w:t>
            </w:r>
            <w:r w:rsidR="00200623" w:rsidRPr="00F93277">
              <w:rPr>
                <w:rFonts w:cs="Arial"/>
                <w:b w:val="0"/>
                <w:szCs w:val="22"/>
              </w:rPr>
              <w:t>00.000,00 EUR (brez DDV).</w:t>
            </w:r>
            <w:r>
              <w:rPr>
                <w:rFonts w:cs="Arial"/>
                <w:b w:val="0"/>
                <w:szCs w:val="22"/>
              </w:rPr>
              <w:t>«</w:t>
            </w:r>
          </w:p>
          <w:p w:rsidR="00836A4E" w:rsidRDefault="00836A4E" w:rsidP="00F93277">
            <w:pPr>
              <w:pStyle w:val="Telobesedila2"/>
              <w:tabs>
                <w:tab w:val="left" w:pos="1276"/>
              </w:tabs>
              <w:spacing w:before="120"/>
              <w:rPr>
                <w:rFonts w:cs="Arial"/>
                <w:b w:val="0"/>
                <w:szCs w:val="22"/>
              </w:rPr>
            </w:pPr>
          </w:p>
          <w:p w:rsidR="00836A4E" w:rsidRPr="003E665E" w:rsidRDefault="00836A4E" w:rsidP="00F93277">
            <w:pPr>
              <w:pStyle w:val="Telobesedila2"/>
              <w:tabs>
                <w:tab w:val="left" w:pos="1276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Naročnik objavlja </w:t>
            </w:r>
            <w:r w:rsidRPr="003E665E">
              <w:rPr>
                <w:rFonts w:cs="Arial"/>
                <w:szCs w:val="22"/>
              </w:rPr>
              <w:t>čistopis vzorca finančnega zavarovanja za resnost ponudbe</w:t>
            </w:r>
            <w:r w:rsidR="00841CDB">
              <w:rPr>
                <w:rFonts w:cs="Arial"/>
                <w:szCs w:val="22"/>
              </w:rPr>
              <w:t xml:space="preserve">, pri čemer lahko ponudnik </w:t>
            </w:r>
            <w:r w:rsidR="0052749E">
              <w:rPr>
                <w:rFonts w:cs="Arial"/>
                <w:szCs w:val="22"/>
              </w:rPr>
              <w:t xml:space="preserve">v ponudbi </w:t>
            </w:r>
            <w:r w:rsidR="00841CDB">
              <w:rPr>
                <w:rFonts w:cs="Arial"/>
                <w:szCs w:val="22"/>
              </w:rPr>
              <w:t xml:space="preserve">predloži </w:t>
            </w:r>
            <w:r w:rsidR="0052749E">
              <w:rPr>
                <w:rFonts w:cs="Arial"/>
                <w:szCs w:val="22"/>
              </w:rPr>
              <w:t>bančno garancijo po prvotno objavljenem vzorcu finančnega zavarovanja za resnost ponudbe.</w:t>
            </w:r>
          </w:p>
          <w:p w:rsidR="00200623" w:rsidRPr="00F93277" w:rsidRDefault="00F93277" w:rsidP="00200623">
            <w:pPr>
              <w:pStyle w:val="Telobesedila2"/>
              <w:tabs>
                <w:tab w:val="left" w:pos="1276"/>
              </w:tabs>
              <w:spacing w:before="120"/>
              <w:ind w:left="2268" w:hanging="992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i/>
                <w:szCs w:val="22"/>
              </w:rPr>
              <w:t xml:space="preserve"> </w:t>
            </w:r>
          </w:p>
          <w:p w:rsidR="002B2923" w:rsidRDefault="002B2923" w:rsidP="006C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</w:tc>
      </w:tr>
    </w:tbl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49" w:rsidRDefault="00F94349">
      <w:r>
        <w:separator/>
      </w:r>
    </w:p>
  </w:endnote>
  <w:endnote w:type="continuationSeparator" w:id="0">
    <w:p w:rsidR="00F94349" w:rsidRDefault="00F9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E42A6E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E42A6E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49" w:rsidRDefault="00F94349">
      <w:r>
        <w:separator/>
      </w:r>
    </w:p>
  </w:footnote>
  <w:footnote w:type="continuationSeparator" w:id="0">
    <w:p w:rsidR="00F94349" w:rsidRDefault="00F9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25"/>
    <w:multiLevelType w:val="hybridMultilevel"/>
    <w:tmpl w:val="66B0D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E17978"/>
    <w:multiLevelType w:val="hybridMultilevel"/>
    <w:tmpl w:val="8CF8B210"/>
    <w:lvl w:ilvl="0" w:tplc="EBD8407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30E43"/>
    <w:rsid w:val="000703D8"/>
    <w:rsid w:val="00194ABB"/>
    <w:rsid w:val="00200623"/>
    <w:rsid w:val="002B2923"/>
    <w:rsid w:val="002C7070"/>
    <w:rsid w:val="003E665E"/>
    <w:rsid w:val="0052749E"/>
    <w:rsid w:val="006C5A72"/>
    <w:rsid w:val="00775AFE"/>
    <w:rsid w:val="00836A4E"/>
    <w:rsid w:val="00841CDB"/>
    <w:rsid w:val="008A433E"/>
    <w:rsid w:val="00947273"/>
    <w:rsid w:val="00AE792F"/>
    <w:rsid w:val="00B5646F"/>
    <w:rsid w:val="00CC1361"/>
    <w:rsid w:val="00DE67E7"/>
    <w:rsid w:val="00E42A6E"/>
    <w:rsid w:val="00F93277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Konnaopomba-besedilo">
    <w:name w:val="endnote text"/>
    <w:basedOn w:val="Navaden"/>
    <w:link w:val="Konnaopomba-besediloZnak"/>
    <w:semiHidden/>
    <w:rsid w:val="00AE792F"/>
    <w:rPr>
      <w:rFonts w:ascii="SL Dutch" w:hAnsi="SL Dutch"/>
      <w:szCs w:val="24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AE792F"/>
    <w:rPr>
      <w:rFonts w:ascii="SL Dutch" w:hAnsi="SL Dutch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E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E4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C5A72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200623"/>
    <w:pPr>
      <w:jc w:val="both"/>
    </w:pPr>
    <w:rPr>
      <w:rFonts w:ascii="Arial" w:hAnsi="Arial"/>
      <w:b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20062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3</cp:revision>
  <cp:lastPrinted>2020-07-20T13:00:00Z</cp:lastPrinted>
  <dcterms:created xsi:type="dcterms:W3CDTF">2020-07-20T12:50:00Z</dcterms:created>
  <dcterms:modified xsi:type="dcterms:W3CDTF">2020-07-20T13:00:00Z</dcterms:modified>
</cp:coreProperties>
</file>